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389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7A" w:rsidRDefault="003A7A9E" w:rsidP="0068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737274"/>
      <w:r w:rsidRPr="0068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2023 РАСШИРЕН ПЕРЕЧЕНЬ КАТЕГОРИЙ ГРАЖДАН, КОТОРЫЕ МОГУТ БЕСПЛАТНО ПОЛУЧАТЬ СОЦУСЛУГИ ВО ВСЕХ ФОРМАХ</w:t>
      </w:r>
      <w:r w:rsidRPr="0068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 декабря 2022 г. N 570-ФЗ "О внесении изменений в статью 31 Федерального закона "Об основах социального обслуживания граждан в Российской Федерации" на бесплатное </w:t>
      </w:r>
      <w:proofErr w:type="spellStart"/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соцобслуживание</w:t>
      </w:r>
      <w:proofErr w:type="spellEnd"/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в полустационарной и стационарной формах смогут также рассчитывать: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и участники Великой Отечественной войны;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боевых действий;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награжденные знаком "Жителю блокадного Ленинграда";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награжденные знаком "Житель осажденного Севастополя";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экипажей судов транспортного флота, интернированных в начале Великой Отечественной войны в портах других государств.</w:t>
      </w:r>
      <w:bookmarkEnd w:id="0"/>
    </w:p>
    <w:sectPr w:rsidR="003A7A9E" w:rsidRPr="003C07D9" w:rsidSect="0077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74A7B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C2C68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2023-06-17T02:30:00Z</dcterms:modified>
</cp:coreProperties>
</file>